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A728" w14:textId="19DDE551" w:rsidR="00F0440A" w:rsidRDefault="00F0440A" w:rsidP="00F914A0">
      <w:pPr>
        <w:jc w:val="both"/>
        <w:rPr>
          <w:b/>
          <w:bCs/>
        </w:rPr>
      </w:pPr>
      <w:r>
        <w:rPr>
          <w:b/>
          <w:bCs/>
        </w:rPr>
        <w:t>OPOSICIONES 2023, EXPLICACIÓN DE LAS TRES VÍAS.</w:t>
      </w:r>
    </w:p>
    <w:p w14:paraId="732E1C4A" w14:textId="7C4B9011" w:rsidR="00F0440A" w:rsidRDefault="00F0440A" w:rsidP="00F914A0">
      <w:pPr>
        <w:jc w:val="both"/>
      </w:pPr>
      <w:r>
        <w:t>1º Vía: Echar papeles</w:t>
      </w:r>
    </w:p>
    <w:p w14:paraId="79E2D974" w14:textId="5CA3A973" w:rsidR="00F0440A" w:rsidRDefault="00F0440A" w:rsidP="00F914A0">
      <w:pPr>
        <w:jc w:val="both"/>
      </w:pPr>
      <w:r>
        <w:t>2º Vía: Estabilización</w:t>
      </w:r>
    </w:p>
    <w:p w14:paraId="0DA89332" w14:textId="5EE9A019" w:rsidR="00F0440A" w:rsidRDefault="00F0440A" w:rsidP="00F914A0">
      <w:pPr>
        <w:jc w:val="both"/>
      </w:pPr>
      <w:r>
        <w:t>3º Vía: Reposición/vía normal.</w:t>
      </w:r>
    </w:p>
    <w:p w14:paraId="43AFB759" w14:textId="3527DA81" w:rsidR="003F45DC" w:rsidRDefault="003F45DC" w:rsidP="00F914A0">
      <w:pPr>
        <w:jc w:val="both"/>
      </w:pPr>
      <w:r>
        <w:rPr>
          <w:noProof/>
        </w:rPr>
        <w:drawing>
          <wp:inline distT="0" distB="0" distL="0" distR="0" wp14:anchorId="2655A3F4" wp14:editId="16907383">
            <wp:extent cx="4516120" cy="3467100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65CC" w14:textId="332AD5EC" w:rsidR="003F45DC" w:rsidRDefault="003F45DC" w:rsidP="00F914A0">
      <w:pPr>
        <w:jc w:val="both"/>
      </w:pPr>
      <w:r>
        <w:rPr>
          <w:noProof/>
        </w:rPr>
        <w:drawing>
          <wp:inline distT="0" distB="0" distL="0" distR="0" wp14:anchorId="0D5D8F49" wp14:editId="74B5C2AD">
            <wp:extent cx="4546600" cy="3848100"/>
            <wp:effectExtent l="0" t="0" r="6350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7F17" w14:textId="5E940B8E" w:rsidR="00F0440A" w:rsidRPr="00F0440A" w:rsidRDefault="00F0440A" w:rsidP="00F914A0">
      <w:pPr>
        <w:jc w:val="both"/>
      </w:pPr>
      <w:r>
        <w:rPr>
          <w:noProof/>
        </w:rPr>
        <w:lastRenderedPageBreak/>
        <w:drawing>
          <wp:inline distT="0" distB="0" distL="0" distR="0" wp14:anchorId="708C3973" wp14:editId="05BF9FEF">
            <wp:extent cx="5400040" cy="45269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5960" w14:textId="692A6CFF" w:rsidR="006128F1" w:rsidRPr="004C26D0" w:rsidRDefault="00D966EF" w:rsidP="00F914A0">
      <w:pPr>
        <w:jc w:val="both"/>
        <w:rPr>
          <w:b/>
          <w:bCs/>
        </w:rPr>
      </w:pPr>
      <w:r w:rsidRPr="004C26D0">
        <w:rPr>
          <w:b/>
          <w:bCs/>
        </w:rPr>
        <w:t>TEMPORALIZACIÓN</w:t>
      </w:r>
      <w:r w:rsidR="004C26D0">
        <w:rPr>
          <w:b/>
          <w:bCs/>
        </w:rPr>
        <w:t xml:space="preserve"> TEMARIO PRÁCTICA.</w:t>
      </w:r>
    </w:p>
    <w:p w14:paraId="1A673C4A" w14:textId="739C7510" w:rsidR="00D966EF" w:rsidRPr="00A14072" w:rsidRDefault="00D966EF" w:rsidP="00F914A0">
      <w:pPr>
        <w:pStyle w:val="Prrafodelista"/>
        <w:numPr>
          <w:ilvl w:val="0"/>
          <w:numId w:val="1"/>
        </w:numPr>
        <w:jc w:val="both"/>
        <w:rPr>
          <w:color w:val="2F5496" w:themeColor="accent1" w:themeShade="BF"/>
        </w:rPr>
      </w:pPr>
      <w:r w:rsidRPr="00A14072">
        <w:rPr>
          <w:color w:val="2F5496" w:themeColor="accent1" w:themeShade="BF"/>
        </w:rPr>
        <w:t>Problemas FPP</w:t>
      </w:r>
    </w:p>
    <w:p w14:paraId="5443EE82" w14:textId="5E7A8CE9" w:rsidR="00AD2BA7" w:rsidRPr="00A14072" w:rsidRDefault="00AD2BA7" w:rsidP="00F914A0">
      <w:pPr>
        <w:pStyle w:val="Prrafodelista"/>
        <w:numPr>
          <w:ilvl w:val="0"/>
          <w:numId w:val="1"/>
        </w:numPr>
        <w:jc w:val="both"/>
        <w:rPr>
          <w:b/>
          <w:bCs/>
          <w:color w:val="2F5496" w:themeColor="accent1" w:themeShade="BF"/>
        </w:rPr>
      </w:pPr>
      <w:r w:rsidRPr="00A14072">
        <w:rPr>
          <w:b/>
          <w:bCs/>
          <w:color w:val="2F5496" w:themeColor="accent1" w:themeShade="BF"/>
        </w:rPr>
        <w:t>La oferta, la demanda y el mercado</w:t>
      </w:r>
    </w:p>
    <w:p w14:paraId="1E7CA595" w14:textId="19D3CAB6" w:rsidR="00AD2BA7" w:rsidRPr="00A14072" w:rsidRDefault="00AD2BA7" w:rsidP="00F914A0">
      <w:pPr>
        <w:pStyle w:val="Prrafodelista"/>
        <w:numPr>
          <w:ilvl w:val="0"/>
          <w:numId w:val="1"/>
        </w:numPr>
        <w:jc w:val="both"/>
        <w:rPr>
          <w:b/>
          <w:bCs/>
          <w:color w:val="2F5496" w:themeColor="accent1" w:themeShade="BF"/>
        </w:rPr>
      </w:pPr>
      <w:r w:rsidRPr="00A14072">
        <w:rPr>
          <w:b/>
          <w:bCs/>
          <w:color w:val="2F5496" w:themeColor="accent1" w:themeShade="BF"/>
        </w:rPr>
        <w:t>Teoría de la utilidad y la demanda</w:t>
      </w:r>
    </w:p>
    <w:p w14:paraId="245BECB7" w14:textId="6E3B8B6B" w:rsidR="00AD2BA7" w:rsidRPr="00A14072" w:rsidRDefault="00AD2BA7" w:rsidP="00F914A0">
      <w:pPr>
        <w:pStyle w:val="Prrafodelista"/>
        <w:numPr>
          <w:ilvl w:val="0"/>
          <w:numId w:val="1"/>
        </w:numPr>
        <w:jc w:val="both"/>
        <w:rPr>
          <w:b/>
          <w:bCs/>
          <w:color w:val="2F5496" w:themeColor="accent1" w:themeShade="BF"/>
        </w:rPr>
      </w:pPr>
      <w:r w:rsidRPr="00A14072">
        <w:rPr>
          <w:b/>
          <w:bCs/>
          <w:color w:val="2F5496" w:themeColor="accent1" w:themeShade="BF"/>
        </w:rPr>
        <w:t>Producción y costes</w:t>
      </w:r>
    </w:p>
    <w:p w14:paraId="7D607424" w14:textId="0023FF21" w:rsidR="00AD2BA7" w:rsidRPr="00A14072" w:rsidRDefault="00AD2BA7" w:rsidP="00F914A0">
      <w:pPr>
        <w:pStyle w:val="Prrafodelista"/>
        <w:numPr>
          <w:ilvl w:val="0"/>
          <w:numId w:val="1"/>
        </w:numPr>
        <w:jc w:val="both"/>
        <w:rPr>
          <w:b/>
          <w:bCs/>
          <w:color w:val="2F5496" w:themeColor="accent1" w:themeShade="BF"/>
        </w:rPr>
      </w:pPr>
      <w:r w:rsidRPr="00A14072">
        <w:rPr>
          <w:b/>
          <w:bCs/>
          <w:color w:val="2F5496" w:themeColor="accent1" w:themeShade="BF"/>
        </w:rPr>
        <w:t>Mercados, formas de competencia</w:t>
      </w:r>
    </w:p>
    <w:p w14:paraId="7FFF38F3" w14:textId="4A0ABEBC" w:rsidR="00AD2BA7" w:rsidRPr="00A14072" w:rsidRDefault="00AD2BA7" w:rsidP="00F914A0">
      <w:pPr>
        <w:pStyle w:val="Prrafodelista"/>
        <w:numPr>
          <w:ilvl w:val="0"/>
          <w:numId w:val="1"/>
        </w:numPr>
        <w:jc w:val="both"/>
        <w:rPr>
          <w:b/>
          <w:bCs/>
          <w:color w:val="2F5496" w:themeColor="accent1" w:themeShade="BF"/>
        </w:rPr>
      </w:pPr>
      <w:r w:rsidRPr="00A14072">
        <w:rPr>
          <w:b/>
          <w:bCs/>
          <w:color w:val="2F5496" w:themeColor="accent1" w:themeShade="BF"/>
        </w:rPr>
        <w:t>Modelo IS-LM. El multiplicador- La política fiscal y la monetaria. La economía abierta</w:t>
      </w:r>
    </w:p>
    <w:p w14:paraId="19441F18" w14:textId="1810E7DB" w:rsidR="00AD2BA7" w:rsidRPr="00A14072" w:rsidRDefault="00AD2BA7" w:rsidP="00F914A0">
      <w:pPr>
        <w:pStyle w:val="Prrafodelista"/>
        <w:numPr>
          <w:ilvl w:val="0"/>
          <w:numId w:val="1"/>
        </w:numPr>
        <w:jc w:val="both"/>
        <w:rPr>
          <w:color w:val="2F5496" w:themeColor="accent1" w:themeShade="BF"/>
        </w:rPr>
      </w:pPr>
      <w:r w:rsidRPr="00A14072">
        <w:rPr>
          <w:color w:val="2F5496" w:themeColor="accent1" w:themeShade="BF"/>
        </w:rPr>
        <w:t>Bienes públicos y externalidades</w:t>
      </w:r>
    </w:p>
    <w:p w14:paraId="5B9B7A13" w14:textId="7012C7C6" w:rsidR="00AD2BA7" w:rsidRPr="00A14072" w:rsidRDefault="00D135E0" w:rsidP="00F914A0">
      <w:pPr>
        <w:pStyle w:val="Prrafodelista"/>
        <w:numPr>
          <w:ilvl w:val="0"/>
          <w:numId w:val="1"/>
        </w:numPr>
        <w:jc w:val="both"/>
        <w:rPr>
          <w:color w:val="2F5496" w:themeColor="accent1" w:themeShade="BF"/>
        </w:rPr>
      </w:pPr>
      <w:r w:rsidRPr="00A14072">
        <w:rPr>
          <w:color w:val="2F5496" w:themeColor="accent1" w:themeShade="BF"/>
        </w:rPr>
        <w:t>Problemas de comercio internacional (balanza de pagos)</w:t>
      </w:r>
    </w:p>
    <w:p w14:paraId="1B86F410" w14:textId="00821B4A" w:rsidR="00D135E0" w:rsidRPr="00A14072" w:rsidRDefault="00D135E0" w:rsidP="00F914A0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A14072">
        <w:rPr>
          <w:color w:val="FF0000"/>
        </w:rPr>
        <w:t>Contabilidad nacional</w:t>
      </w:r>
    </w:p>
    <w:p w14:paraId="59DE7930" w14:textId="1B2C6F7B" w:rsidR="00D135E0" w:rsidRPr="00F914A0" w:rsidRDefault="00D135E0" w:rsidP="00F914A0">
      <w:pPr>
        <w:pStyle w:val="Prrafodelista"/>
        <w:numPr>
          <w:ilvl w:val="0"/>
          <w:numId w:val="1"/>
        </w:numPr>
        <w:jc w:val="both"/>
        <w:rPr>
          <w:b/>
          <w:bCs/>
          <w:color w:val="FF0000"/>
        </w:rPr>
      </w:pPr>
      <w:r w:rsidRPr="00F914A0">
        <w:rPr>
          <w:b/>
          <w:bCs/>
          <w:color w:val="FF0000"/>
        </w:rPr>
        <w:t>Economía monetaria</w:t>
      </w:r>
    </w:p>
    <w:p w14:paraId="12BD89D8" w14:textId="289A3696" w:rsidR="00D135E0" w:rsidRPr="00A14072" w:rsidRDefault="00D135E0" w:rsidP="00F914A0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A14072">
        <w:rPr>
          <w:color w:val="FF0000"/>
        </w:rPr>
        <w:t>IPC, deflactor del PIB</w:t>
      </w:r>
    </w:p>
    <w:p w14:paraId="3F2CF0AF" w14:textId="02726A09" w:rsidR="00D135E0" w:rsidRPr="00F914A0" w:rsidRDefault="00D135E0" w:rsidP="00F914A0">
      <w:pPr>
        <w:pStyle w:val="Prrafodelista"/>
        <w:numPr>
          <w:ilvl w:val="0"/>
          <w:numId w:val="1"/>
        </w:numPr>
        <w:jc w:val="both"/>
        <w:rPr>
          <w:b/>
          <w:bCs/>
          <w:color w:val="538135" w:themeColor="accent6" w:themeShade="BF"/>
        </w:rPr>
      </w:pPr>
      <w:r w:rsidRPr="00F914A0">
        <w:rPr>
          <w:b/>
          <w:bCs/>
          <w:color w:val="538135" w:themeColor="accent6" w:themeShade="BF"/>
        </w:rPr>
        <w:t>Matemática financiera</w:t>
      </w:r>
      <w:r w:rsidR="00F914A0">
        <w:rPr>
          <w:b/>
          <w:bCs/>
          <w:color w:val="538135" w:themeColor="accent6" w:themeShade="BF"/>
        </w:rPr>
        <w:t>*</w:t>
      </w:r>
    </w:p>
    <w:p w14:paraId="67C95AEB" w14:textId="255F64D8" w:rsidR="00D135E0" w:rsidRPr="00A14072" w:rsidRDefault="00A14072" w:rsidP="00F914A0">
      <w:pPr>
        <w:pStyle w:val="Prrafodelista"/>
        <w:numPr>
          <w:ilvl w:val="0"/>
          <w:numId w:val="1"/>
        </w:numPr>
        <w:jc w:val="both"/>
        <w:rPr>
          <w:color w:val="538135" w:themeColor="accent6" w:themeShade="BF"/>
        </w:rPr>
      </w:pPr>
      <w:r w:rsidRPr="00A14072">
        <w:rPr>
          <w:color w:val="538135" w:themeColor="accent6" w:themeShade="BF"/>
        </w:rPr>
        <w:t>EMPRESA</w:t>
      </w:r>
    </w:p>
    <w:p w14:paraId="57AC7B26" w14:textId="013A92C4" w:rsidR="00A14072" w:rsidRPr="00F914A0" w:rsidRDefault="00A14072" w:rsidP="00F914A0">
      <w:pPr>
        <w:pStyle w:val="Prrafodelista"/>
        <w:numPr>
          <w:ilvl w:val="1"/>
          <w:numId w:val="1"/>
        </w:numPr>
        <w:jc w:val="both"/>
        <w:rPr>
          <w:b/>
          <w:bCs/>
          <w:color w:val="538135" w:themeColor="accent6" w:themeShade="BF"/>
        </w:rPr>
      </w:pPr>
      <w:r w:rsidRPr="00F914A0">
        <w:rPr>
          <w:b/>
          <w:bCs/>
          <w:color w:val="538135" w:themeColor="accent6" w:themeShade="BF"/>
        </w:rPr>
        <w:t>Control De costes y análisis de la productividad</w:t>
      </w:r>
    </w:p>
    <w:p w14:paraId="63254D94" w14:textId="6BC01F4A" w:rsidR="00A14072" w:rsidRPr="00F914A0" w:rsidRDefault="00A14072" w:rsidP="00F914A0">
      <w:pPr>
        <w:pStyle w:val="Prrafodelista"/>
        <w:numPr>
          <w:ilvl w:val="1"/>
          <w:numId w:val="1"/>
        </w:numPr>
        <w:jc w:val="both"/>
        <w:rPr>
          <w:b/>
          <w:bCs/>
          <w:color w:val="538135" w:themeColor="accent6" w:themeShade="BF"/>
        </w:rPr>
      </w:pPr>
      <w:r w:rsidRPr="00F914A0">
        <w:rPr>
          <w:b/>
          <w:bCs/>
          <w:color w:val="538135" w:themeColor="accent6" w:themeShade="BF"/>
        </w:rPr>
        <w:t>Problemas de selección de inversiones</w:t>
      </w:r>
    </w:p>
    <w:p w14:paraId="447D41E2" w14:textId="365621C8" w:rsidR="00A14072" w:rsidRPr="00A14072" w:rsidRDefault="00A14072" w:rsidP="00F914A0">
      <w:pPr>
        <w:pStyle w:val="Prrafodelista"/>
        <w:numPr>
          <w:ilvl w:val="1"/>
          <w:numId w:val="1"/>
        </w:numPr>
        <w:jc w:val="both"/>
        <w:rPr>
          <w:color w:val="538135" w:themeColor="accent6" w:themeShade="BF"/>
        </w:rPr>
      </w:pPr>
      <w:r w:rsidRPr="00A14072">
        <w:rPr>
          <w:color w:val="538135" w:themeColor="accent6" w:themeShade="BF"/>
        </w:rPr>
        <w:t>Modelo de Wilson para la gestión de inventarios</w:t>
      </w:r>
    </w:p>
    <w:p w14:paraId="215AB69F" w14:textId="51828CA4" w:rsidR="00A14072" w:rsidRPr="00F914A0" w:rsidRDefault="00A14072" w:rsidP="00F914A0">
      <w:pPr>
        <w:pStyle w:val="Prrafodelista"/>
        <w:numPr>
          <w:ilvl w:val="1"/>
          <w:numId w:val="1"/>
        </w:numPr>
        <w:jc w:val="both"/>
        <w:rPr>
          <w:color w:val="FF0000"/>
        </w:rPr>
      </w:pPr>
      <w:r w:rsidRPr="00F914A0">
        <w:rPr>
          <w:color w:val="FF0000"/>
        </w:rPr>
        <w:t>PERT</w:t>
      </w:r>
    </w:p>
    <w:p w14:paraId="185A485F" w14:textId="529416B2" w:rsidR="00A14072" w:rsidRPr="00F914A0" w:rsidRDefault="00A14072" w:rsidP="00F914A0">
      <w:pPr>
        <w:pStyle w:val="Prrafodelista"/>
        <w:numPr>
          <w:ilvl w:val="1"/>
          <w:numId w:val="1"/>
        </w:numPr>
        <w:jc w:val="both"/>
        <w:rPr>
          <w:b/>
          <w:bCs/>
          <w:color w:val="538135" w:themeColor="accent6" w:themeShade="BF"/>
        </w:rPr>
      </w:pPr>
      <w:r w:rsidRPr="00F914A0">
        <w:rPr>
          <w:b/>
          <w:bCs/>
          <w:color w:val="538135" w:themeColor="accent6" w:themeShade="BF"/>
        </w:rPr>
        <w:t>Problemas de punto muerto y GAO</w:t>
      </w:r>
    </w:p>
    <w:p w14:paraId="6B53F064" w14:textId="22DE639E" w:rsidR="00A14072" w:rsidRPr="00F914A0" w:rsidRDefault="00A14072" w:rsidP="00F914A0">
      <w:pPr>
        <w:pStyle w:val="Prrafodelista"/>
        <w:numPr>
          <w:ilvl w:val="1"/>
          <w:numId w:val="1"/>
        </w:numPr>
        <w:jc w:val="both"/>
        <w:rPr>
          <w:b/>
          <w:bCs/>
          <w:color w:val="FF0000"/>
        </w:rPr>
      </w:pPr>
      <w:r w:rsidRPr="00F914A0">
        <w:rPr>
          <w:b/>
          <w:bCs/>
          <w:color w:val="FF0000"/>
        </w:rPr>
        <w:t>Análisis financiero y de rentabilidad</w:t>
      </w:r>
    </w:p>
    <w:p w14:paraId="48A073BF" w14:textId="0D7B2D87" w:rsidR="00A14072" w:rsidRPr="00F914A0" w:rsidRDefault="00A14072" w:rsidP="00F914A0">
      <w:pPr>
        <w:pStyle w:val="Prrafodelista"/>
        <w:numPr>
          <w:ilvl w:val="1"/>
          <w:numId w:val="1"/>
        </w:numPr>
        <w:jc w:val="both"/>
        <w:rPr>
          <w:b/>
          <w:bCs/>
          <w:color w:val="FF0000"/>
        </w:rPr>
      </w:pPr>
      <w:r w:rsidRPr="00F914A0">
        <w:rPr>
          <w:b/>
          <w:bCs/>
          <w:color w:val="FF0000"/>
        </w:rPr>
        <w:t>PMM y FM</w:t>
      </w:r>
    </w:p>
    <w:p w14:paraId="498E445F" w14:textId="79EEAD8A" w:rsidR="00A14072" w:rsidRPr="00A14072" w:rsidRDefault="00A14072" w:rsidP="00F914A0">
      <w:pPr>
        <w:pStyle w:val="Prrafodelista"/>
        <w:numPr>
          <w:ilvl w:val="1"/>
          <w:numId w:val="1"/>
        </w:numPr>
        <w:jc w:val="both"/>
        <w:rPr>
          <w:color w:val="FF0000"/>
        </w:rPr>
      </w:pPr>
      <w:r w:rsidRPr="00A14072">
        <w:rPr>
          <w:color w:val="FF0000"/>
        </w:rPr>
        <w:t>Coste de Capital</w:t>
      </w:r>
    </w:p>
    <w:p w14:paraId="54847F3E" w14:textId="4F7A4889" w:rsidR="00A14072" w:rsidRDefault="00A14072" w:rsidP="00F914A0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A14072">
        <w:rPr>
          <w:color w:val="FF0000"/>
        </w:rPr>
        <w:lastRenderedPageBreak/>
        <w:t>EXÁMENES</w:t>
      </w:r>
      <w:r w:rsidR="00E34C99">
        <w:rPr>
          <w:color w:val="FF0000"/>
        </w:rPr>
        <w:t xml:space="preserve"> de años anteriores.</w:t>
      </w:r>
    </w:p>
    <w:p w14:paraId="4BFF52C4" w14:textId="7A5A9AA8" w:rsidR="00F914A0" w:rsidRDefault="00F914A0" w:rsidP="00F914A0">
      <w:pPr>
        <w:jc w:val="both"/>
        <w:rPr>
          <w:color w:val="000000" w:themeColor="text1"/>
        </w:rPr>
      </w:pPr>
      <w:r>
        <w:rPr>
          <w:color w:val="000000" w:themeColor="text1"/>
        </w:rPr>
        <w:t>En azul está la programación hasta diciembre, en verde, hasta marzo/abril y en rojo la última parte. Esto puede estar sujeto a cambios. Escrito en Negrita las partes que considero fundamentales para aprobar el examen (aunque todas las partes son vitales, ya que puede caer un problema de cualquier parte de la materia.</w:t>
      </w:r>
    </w:p>
    <w:p w14:paraId="00EC1281" w14:textId="7B8E7F74" w:rsidR="00F914A0" w:rsidRDefault="00F914A0" w:rsidP="00F914A0">
      <w:pPr>
        <w:jc w:val="both"/>
        <w:rPr>
          <w:color w:val="000000" w:themeColor="text1"/>
        </w:rPr>
      </w:pPr>
    </w:p>
    <w:p w14:paraId="24BC85DF" w14:textId="2DBADE52" w:rsidR="00F914A0" w:rsidRDefault="00F914A0" w:rsidP="00F914A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*La matemática financiera puede hacerse tan extensa como se quiera, por eso puede variar su programación en ella, es importante saber que, en castilla y león es bastante probable que caiga un ejercicio en el examen (aunque en 2018 no entró) </w:t>
      </w:r>
      <w:proofErr w:type="gramStart"/>
      <w:r>
        <w:rPr>
          <w:color w:val="000000" w:themeColor="text1"/>
        </w:rPr>
        <w:t>y</w:t>
      </w:r>
      <w:proofErr w:type="gramEnd"/>
      <w:r>
        <w:rPr>
          <w:color w:val="000000" w:themeColor="text1"/>
        </w:rPr>
        <w:t xml:space="preserve"> por tanto, es vital profundizar en ella. Dentro de la Matemática financiera, Rentas y Préstamos son en lo que nos centraremos, pudiendo ver algunos ejercicios de empréstitos sencillos (ya que los empréstitos son más de la asignatura de Administración de Empresas y nunca han caído en Castilla y león).</w:t>
      </w:r>
    </w:p>
    <w:p w14:paraId="507CFBC4" w14:textId="76130225" w:rsidR="004C26D0" w:rsidRDefault="00547E17" w:rsidP="00F914A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PROGRAMACIÓN</w:t>
      </w:r>
    </w:p>
    <w:p w14:paraId="0C8C4D55" w14:textId="6498D13A" w:rsidR="0022217C" w:rsidRDefault="00547E17" w:rsidP="00F914A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En cuanto a la programación, los cursos impares (1º de Bach) se tendrán que hacer LOMLOE, </w:t>
      </w:r>
      <w:proofErr w:type="gramStart"/>
      <w:r>
        <w:rPr>
          <w:color w:val="000000" w:themeColor="text1"/>
        </w:rPr>
        <w:t>los cursos pares todavía no se ha</w:t>
      </w:r>
      <w:proofErr w:type="gramEnd"/>
      <w:r>
        <w:rPr>
          <w:color w:val="000000" w:themeColor="text1"/>
        </w:rPr>
        <w:t xml:space="preserve"> dicho nada, este año están programándose para LOMCE, el problema es que </w:t>
      </w:r>
      <w:r w:rsidR="0022217C">
        <w:rPr>
          <w:color w:val="000000" w:themeColor="text1"/>
        </w:rPr>
        <w:t xml:space="preserve">no se sabe si se va a pedir LOMCE o LOMLOE. (En Asturias cuando pasó esto con LOE y LOMCE se pidieron todas LOMCE, aunque fue la única comunidad que legisló así para las oposiciones). </w:t>
      </w:r>
    </w:p>
    <w:p w14:paraId="559F804D" w14:textId="0A5FD793" w:rsidR="0022217C" w:rsidRPr="00547E17" w:rsidRDefault="0022217C" w:rsidP="00F914A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En cuanto a la programación, hay que llevar la programación y las unidades didácticas. Dichas unidades didácticas no son pedidas al principio del proceso (la programación hasta ahora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que se ha pedido) pero hacerlas a partir del 2</w:t>
      </w:r>
      <w:r w:rsidR="00BD729D">
        <w:rPr>
          <w:color w:val="000000" w:themeColor="text1"/>
        </w:rPr>
        <w:t>4</w:t>
      </w:r>
      <w:r>
        <w:rPr>
          <w:color w:val="000000" w:themeColor="text1"/>
        </w:rPr>
        <w:t xml:space="preserve"> de junio es </w:t>
      </w:r>
      <w:r w:rsidR="00BD729D">
        <w:rPr>
          <w:color w:val="000000" w:themeColor="text1"/>
        </w:rPr>
        <w:t xml:space="preserve">muy arriesgado y casi siempre sale mal. Yo os instaría a hacer una programación de un curso de LOMCE, ya que la LOMLOE todavía no ha empezado a funcionar e igual en el tribunal puede haber gente que no sepa mucho de que va el asunto o también puede haber gente que sepa perfectamente y se crea un erudito de esto. </w:t>
      </w:r>
    </w:p>
    <w:sectPr w:rsidR="0022217C" w:rsidRPr="00547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98F"/>
    <w:multiLevelType w:val="hybridMultilevel"/>
    <w:tmpl w:val="C50269FA"/>
    <w:lvl w:ilvl="0" w:tplc="D1E4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3B7"/>
    <w:multiLevelType w:val="hybridMultilevel"/>
    <w:tmpl w:val="7292B740"/>
    <w:lvl w:ilvl="0" w:tplc="434AB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575370">
    <w:abstractNumId w:val="0"/>
  </w:num>
  <w:num w:numId="2" w16cid:durableId="79780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EF"/>
    <w:rsid w:val="0022217C"/>
    <w:rsid w:val="003F45DC"/>
    <w:rsid w:val="004C26D0"/>
    <w:rsid w:val="00547E17"/>
    <w:rsid w:val="006128F1"/>
    <w:rsid w:val="00652A4A"/>
    <w:rsid w:val="00867AE9"/>
    <w:rsid w:val="00957D25"/>
    <w:rsid w:val="00A14072"/>
    <w:rsid w:val="00AD2BA7"/>
    <w:rsid w:val="00BD729D"/>
    <w:rsid w:val="00D135E0"/>
    <w:rsid w:val="00D966EF"/>
    <w:rsid w:val="00E34C99"/>
    <w:rsid w:val="00F0440A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6A86"/>
  <w15:chartTrackingRefBased/>
  <w15:docId w15:val="{A1C206BC-0287-4750-A5F1-2327A3EB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 DEL CAMPO</dc:creator>
  <cp:keywords/>
  <dc:description/>
  <cp:lastModifiedBy>PEDRO MARTIN DEL CAMPO</cp:lastModifiedBy>
  <cp:revision>2</cp:revision>
  <dcterms:created xsi:type="dcterms:W3CDTF">2022-09-22T15:23:00Z</dcterms:created>
  <dcterms:modified xsi:type="dcterms:W3CDTF">2022-09-22T15:23:00Z</dcterms:modified>
</cp:coreProperties>
</file>